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before="0"/>
        <w:ind/>
        <w:jc w:val="center"/>
        <w:rPr>
          <w:sz w:val="28"/>
        </w:rPr>
      </w:pPr>
      <w:r>
        <w:rPr>
          <w:sz w:val="28"/>
        </w:rPr>
        <w:t xml:space="preserve">ПОЛОЖЕНИЕ О ПРОВЕДЕНИИ КОНКУРСА </w:t>
      </w:r>
      <w:r>
        <w:rPr>
          <w:sz w:val="28"/>
        </w:rPr>
        <w:t>ПРОЕКТОВ</w:t>
      </w:r>
      <w:r>
        <w:rPr>
          <w:sz w:val="28"/>
        </w:rPr>
        <w:t xml:space="preserve"> В СФЕРЕ </w:t>
      </w:r>
      <w:r>
        <w:rPr>
          <w:sz w:val="28"/>
        </w:rPr>
        <w:t>РАЗВИТИЯ ТУРИЗМА Г. КОВДОР</w:t>
      </w:r>
      <w:r>
        <w:rPr>
          <w:sz w:val="28"/>
        </w:rPr>
        <w:t xml:space="preserve"> «</w:t>
      </w:r>
      <w:r>
        <w:rPr>
          <w:sz w:val="28"/>
        </w:rPr>
        <w:t xml:space="preserve">КОВДОР </w:t>
      </w:r>
      <w:r>
        <w:rPr>
          <w:sz w:val="28"/>
        </w:rPr>
        <w:t>OUTDOOR</w:t>
      </w:r>
      <w:r>
        <w:rPr>
          <w:sz w:val="28"/>
        </w:rPr>
        <w:t>»</w:t>
      </w:r>
    </w:p>
    <w:p w14:paraId="04000000">
      <w:pPr>
        <w:pStyle w:val="Style_2"/>
      </w:pPr>
      <w:r>
        <w:t>1. Общие положения</w:t>
      </w:r>
    </w:p>
    <w:p w14:paraId="05000000">
      <w:pPr>
        <w:spacing w:after="120"/>
        <w:ind/>
      </w:pPr>
      <w:r>
        <w:t xml:space="preserve">1.1. </w:t>
      </w:r>
      <w:r>
        <w:t>К</w:t>
      </w:r>
      <w:r>
        <w:t xml:space="preserve">онкурс </w:t>
      </w:r>
      <w:r>
        <w:t>проектов</w:t>
      </w:r>
      <w:r>
        <w:t xml:space="preserve"> в сфере </w:t>
      </w:r>
      <w:r>
        <w:t>развития туризма г. Ковдор Мурманской области</w:t>
      </w:r>
      <w:r>
        <w:t xml:space="preserve"> «</w:t>
      </w:r>
      <w:r>
        <w:t>КОВДОР OUTDOOR</w:t>
      </w:r>
      <w:r>
        <w:t xml:space="preserve">» организован в целях выявления передового опыта и наиболее успешных </w:t>
      </w:r>
      <w:r>
        <w:t xml:space="preserve">                  </w:t>
      </w:r>
      <w:r>
        <w:t>PR</w:t>
      </w:r>
      <w:r>
        <w:t>-</w:t>
      </w:r>
      <w:r>
        <w:t xml:space="preserve">моделей </w:t>
      </w:r>
      <w:r>
        <w:t>для повышения туристической привлекательности г. Ковдор, Мурманская область</w:t>
      </w:r>
      <w:r>
        <w:t>.</w:t>
      </w:r>
    </w:p>
    <w:p w14:paraId="06000000">
      <w:pPr>
        <w:spacing w:after="120"/>
        <w:ind/>
      </w:pPr>
      <w:r>
        <w:t xml:space="preserve">1.2. Организаторами конкурса </w:t>
      </w:r>
      <w:r>
        <w:t>проектов в сфере развития туризма г. Ковдор Мурманской области «</w:t>
      </w:r>
      <w:r>
        <w:t>КОВДОР OUTDOOR</w:t>
      </w:r>
      <w:r>
        <w:t xml:space="preserve">» </w:t>
      </w:r>
      <w:r>
        <w:t>явля</w:t>
      </w:r>
      <w:r>
        <w:t xml:space="preserve">ются «Ассоциация менеджеров», </w:t>
      </w:r>
      <w:r>
        <w:t>Мед</w:t>
      </w:r>
      <w:r>
        <w:t>иагруппа «Комсомольская правда» и компания «ЕвроХим».</w:t>
      </w:r>
    </w:p>
    <w:p w14:paraId="07000000">
      <w:pPr>
        <w:spacing w:after="120"/>
        <w:ind/>
      </w:pPr>
      <w:r>
        <w:t>1.3. Принять участие в конкурсе проектов в сфере развития туризма г. Ковдор Мурманской области «</w:t>
      </w:r>
      <w:r>
        <w:t>КОВДОР OUTDOOR</w:t>
      </w:r>
      <w:r>
        <w:t>»</w:t>
      </w:r>
      <w:r>
        <w:t xml:space="preserve"> могут </w:t>
      </w:r>
      <w:r>
        <w:t>граждане Российской Федерации, достигшие возраста 18 лет</w:t>
      </w:r>
      <w:r>
        <w:t xml:space="preserve"> и подавшие в адрес оргкомитета конкурса заявку в соответствии с предъявляемыми требованиями к пред</w:t>
      </w:r>
      <w:r>
        <w:t>оставлению информации.</w:t>
      </w:r>
    </w:p>
    <w:p w14:paraId="08000000">
      <w:pPr>
        <w:spacing w:after="120"/>
        <w:ind/>
      </w:pPr>
      <w:r>
        <w:t xml:space="preserve">1.4. </w:t>
      </w:r>
      <w:r>
        <w:t>Конкурс проектов в сфере развития туризма г. Ковдор Мурманской области «</w:t>
      </w:r>
      <w:r>
        <w:t>КОВДОР OUTDOOR</w:t>
      </w:r>
      <w:bookmarkStart w:id="1" w:name="_GoBack"/>
      <w:bookmarkEnd w:id="1"/>
      <w:r>
        <w:t>»</w:t>
      </w:r>
      <w:r>
        <w:t xml:space="preserve"> считается объявленным с момента опубликова</w:t>
      </w:r>
      <w:r>
        <w:t>ния информации о запуске конкурса</w:t>
      </w:r>
      <w:r>
        <w:t xml:space="preserve"> на официальном сайте </w:t>
      </w:r>
      <w:r>
        <w:t>«Ассоциации м</w:t>
      </w:r>
      <w:r>
        <w:t>енеджеров</w:t>
      </w:r>
      <w:r>
        <w:t>»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"http://www.amr.ru"</w:instrText>
      </w:r>
      <w:r>
        <w:rPr>
          <w:rStyle w:val="Style_3_ch"/>
        </w:rPr>
        <w:fldChar w:fldCharType="separate"/>
      </w:r>
      <w:r>
        <w:rPr>
          <w:rStyle w:val="Style_3_ch"/>
        </w:rPr>
        <w:t>www.amr.ru</w:t>
      </w:r>
      <w:r>
        <w:rPr>
          <w:rStyle w:val="Style_3_ch"/>
        </w:rPr>
        <w:fldChar w:fldCharType="end"/>
      </w:r>
      <w:r>
        <w:t>.</w:t>
      </w:r>
    </w:p>
    <w:p w14:paraId="09000000">
      <w:pPr>
        <w:pStyle w:val="Style_2"/>
      </w:pPr>
      <w:r>
        <w:t>2. Цели конкурса</w:t>
      </w:r>
    </w:p>
    <w:p w14:paraId="0A000000">
      <w:r>
        <w:t xml:space="preserve">2.1. Целями конкурса являются: </w:t>
      </w:r>
    </w:p>
    <w:p w14:paraId="0B000000">
      <w:pPr>
        <w:pStyle w:val="Style_4"/>
        <w:numPr>
          <w:ilvl w:val="0"/>
          <w:numId w:val="1"/>
        </w:numPr>
      </w:pPr>
      <w:r>
        <w:t xml:space="preserve">выявление передового опыта и наиболее успешных </w:t>
      </w:r>
      <w:r>
        <w:t>PR</w:t>
      </w:r>
      <w:r>
        <w:t>-</w:t>
      </w:r>
      <w:r>
        <w:t>моделей для повышения туристической привлекательности г. Ковдор, Мурманская область;</w:t>
      </w:r>
    </w:p>
    <w:p w14:paraId="0C000000">
      <w:pPr>
        <w:pStyle w:val="Style_4"/>
        <w:numPr>
          <w:ilvl w:val="0"/>
          <w:numId w:val="1"/>
        </w:numPr>
      </w:pPr>
      <w:r>
        <w:t>популяризация</w:t>
      </w:r>
      <w:r>
        <w:t xml:space="preserve"> истории</w:t>
      </w:r>
      <w:r>
        <w:t xml:space="preserve"> г. Ковдор, Мурманская область;</w:t>
      </w:r>
    </w:p>
    <w:p w14:paraId="0D000000">
      <w:pPr>
        <w:pStyle w:val="Style_4"/>
        <w:numPr>
          <w:ilvl w:val="0"/>
          <w:numId w:val="1"/>
        </w:numPr>
      </w:pPr>
      <w:r>
        <w:t>привлечение туристического потока в г. Ковдор, Мурманская область;</w:t>
      </w:r>
    </w:p>
    <w:p w14:paraId="0E000000">
      <w:pPr>
        <w:pStyle w:val="Style_4"/>
        <w:numPr>
          <w:ilvl w:val="0"/>
          <w:numId w:val="1"/>
        </w:numPr>
      </w:pPr>
      <w:r>
        <w:t xml:space="preserve">развитие </w:t>
      </w:r>
      <w:r>
        <w:t xml:space="preserve">вовлеченности </w:t>
      </w:r>
      <w:r>
        <w:t xml:space="preserve">туристов в формирование туристических продуктов </w:t>
      </w:r>
      <w:r>
        <w:t xml:space="preserve">и социального диалога. </w:t>
      </w:r>
      <w:r>
        <w:t xml:space="preserve"> </w:t>
      </w:r>
    </w:p>
    <w:p w14:paraId="0F000000">
      <w:pPr>
        <w:pStyle w:val="Style_2"/>
      </w:pPr>
      <w:r>
        <w:t>3. Организационный комитет конкурса:</w:t>
      </w:r>
    </w:p>
    <w:p w14:paraId="10000000">
      <w:pPr>
        <w:spacing w:after="120"/>
        <w:ind/>
      </w:pPr>
      <w:r>
        <w:t xml:space="preserve">3.1. Организаторы принимают заявки для участия в конкурсе, проводят консультации по </w:t>
      </w:r>
      <w:r>
        <w:t>заполнению формы заявки,</w:t>
      </w:r>
      <w:r>
        <w:t xml:space="preserve"> предоставляемой на конкурс, формируют состав Экспертного совета и организуют их работу, осуществляют </w:t>
      </w:r>
      <w:r>
        <w:t>награждение</w:t>
      </w:r>
      <w:r>
        <w:t xml:space="preserve"> победителей.</w:t>
      </w:r>
    </w:p>
    <w:p w14:paraId="11000000">
      <w:pPr>
        <w:spacing w:after="120"/>
        <w:ind/>
      </w:pPr>
      <w:r>
        <w:t xml:space="preserve">3.2. Экспертный совет рассматривает проекты, участвующие в конкурсе, и проводит их оценку на основе </w:t>
      </w:r>
      <w:r>
        <w:t>оценочных анкет</w:t>
      </w:r>
      <w:r>
        <w:t xml:space="preserve">. Заполнение оценочных анкет происходит в заочной форме. Результатом работы Экспертного совета является </w:t>
      </w:r>
      <w:r>
        <w:t>выявление единоличного победителя</w:t>
      </w:r>
      <w:r>
        <w:t xml:space="preserve"> конкурса.</w:t>
      </w:r>
    </w:p>
    <w:p w14:paraId="12000000">
      <w:pPr>
        <w:spacing w:after="120"/>
        <w:ind/>
      </w:pPr>
      <w:r>
        <w:t>3.3. Эксперт</w:t>
      </w:r>
      <w:r>
        <w:t xml:space="preserve">ный совет рассматривает проекты </w:t>
      </w:r>
      <w:r>
        <w:t>и проводит итогову</w:t>
      </w:r>
      <w:r>
        <w:t xml:space="preserve">ю оценку проектов по критериям согласно </w:t>
      </w:r>
      <w:r>
        <w:t>п. 5</w:t>
      </w:r>
      <w:r>
        <w:t xml:space="preserve"> настоящего Положения</w:t>
      </w:r>
      <w:r>
        <w:t xml:space="preserve">. </w:t>
      </w:r>
    </w:p>
    <w:p w14:paraId="13000000">
      <w:pPr>
        <w:spacing w:after="120"/>
        <w:ind/>
      </w:pPr>
      <w:r>
        <w:t xml:space="preserve">3.4. В состав Экспертного совета конкурса входят признанные профессиональным сообществом эксперты в области </w:t>
      </w:r>
      <w:r>
        <w:t>гостиничного бизнеса и туризма</w:t>
      </w:r>
      <w:r>
        <w:t>, маркетинга и стратегического менеджмента</w:t>
      </w:r>
      <w:r>
        <w:t>.</w:t>
      </w:r>
    </w:p>
    <w:p w14:paraId="14000000">
      <w:pPr>
        <w:pStyle w:val="Style_2"/>
        <w:tabs>
          <w:tab w:leader="none" w:pos="8040" w:val="left"/>
        </w:tabs>
        <w:ind/>
      </w:pPr>
      <w:r>
        <w:t>4. Порядок подачи и приема документов для участия</w:t>
      </w:r>
      <w:r>
        <w:tab/>
      </w:r>
    </w:p>
    <w:p w14:paraId="15000000">
      <w:pPr>
        <w:spacing w:after="120"/>
        <w:ind/>
      </w:pPr>
      <w:r>
        <w:t xml:space="preserve">4.1. Для участия в конкурсе, кандидат </w:t>
      </w:r>
      <w:r>
        <w:t xml:space="preserve">предоставляет в </w:t>
      </w:r>
      <w:r>
        <w:t>«Ассоциацию м</w:t>
      </w:r>
      <w:r>
        <w:t>енеджеров</w:t>
      </w:r>
      <w:r>
        <w:t>»</w:t>
      </w:r>
      <w:r>
        <w:t xml:space="preserve"> заполненную форму заявки в электронном виде в соответствии с требованиями, указанными в форме </w:t>
      </w:r>
      <w:r>
        <w:rPr>
          <w:u w:val="single"/>
        </w:rPr>
        <w:t xml:space="preserve">до </w:t>
      </w:r>
      <w:r>
        <w:rPr>
          <w:u w:val="single"/>
        </w:rPr>
        <w:t>1</w:t>
      </w:r>
      <w:r>
        <w:rPr>
          <w:u w:val="single"/>
        </w:rPr>
        <w:t>9:00 (по московскому времени) 8 июл</w:t>
      </w:r>
      <w:r>
        <w:rPr>
          <w:u w:val="single"/>
        </w:rPr>
        <w:t>я 2022</w:t>
      </w:r>
      <w:r>
        <w:rPr>
          <w:u w:val="single"/>
        </w:rPr>
        <w:t xml:space="preserve"> г</w:t>
      </w:r>
      <w:r>
        <w:t>.</w:t>
      </w:r>
    </w:p>
    <w:p w14:paraId="16000000">
      <w:pPr>
        <w:spacing w:after="120"/>
        <w:ind/>
      </w:pPr>
      <w:r>
        <w:t xml:space="preserve">4.2. Ссылка на заявку для участия размещается в анонсе конкурса на сайте </w:t>
      </w:r>
      <w:r>
        <w:t>«</w:t>
      </w:r>
      <w:r>
        <w:t>Ассоциации менеджеров</w:t>
      </w:r>
      <w:r>
        <w:t>»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"http://www.amr.ru"</w:instrText>
      </w:r>
      <w:r>
        <w:rPr>
          <w:rStyle w:val="Style_3_ch"/>
        </w:rPr>
        <w:fldChar w:fldCharType="separate"/>
      </w:r>
      <w:r>
        <w:rPr>
          <w:rStyle w:val="Style_3_ch"/>
        </w:rPr>
        <w:t>www.amr.ru</w:t>
      </w:r>
      <w:r>
        <w:rPr>
          <w:rStyle w:val="Style_3_ch"/>
        </w:rPr>
        <w:fldChar w:fldCharType="end"/>
      </w:r>
      <w:r>
        <w:t>.</w:t>
      </w:r>
    </w:p>
    <w:p w14:paraId="17000000">
      <w:pPr>
        <w:spacing w:after="120"/>
        <w:ind/>
      </w:pPr>
      <w:r>
        <w:t>4.3</w:t>
      </w:r>
      <w:r>
        <w:t xml:space="preserve">. Форма описания проекта заполняется в соответствии с требованиями, предъявляемыми к предоставлению информации, указанными в самой форме. </w:t>
      </w:r>
    </w:p>
    <w:p w14:paraId="18000000">
      <w:pPr>
        <w:spacing w:after="120"/>
        <w:ind/>
      </w:pPr>
      <w:r>
        <w:t xml:space="preserve">4.3. На конкурс можно предоставлять </w:t>
      </w:r>
      <w:r>
        <w:rPr>
          <w:u w:val="single"/>
        </w:rPr>
        <w:t>не более трех</w:t>
      </w:r>
      <w:r>
        <w:rPr>
          <w:u w:val="single"/>
        </w:rPr>
        <w:t xml:space="preserve"> проектов</w:t>
      </w:r>
      <w:r>
        <w:t xml:space="preserve"> от </w:t>
      </w:r>
      <w:r>
        <w:t>одного кандидата</w:t>
      </w:r>
      <w:r>
        <w:t>.</w:t>
      </w:r>
    </w:p>
    <w:p w14:paraId="19000000">
      <w:pPr>
        <w:pStyle w:val="Style_2"/>
      </w:pPr>
      <w:r>
        <w:t>5</w:t>
      </w:r>
      <w:r>
        <w:t>. Критерии оценки проектов, выставленных на конкурс</w:t>
      </w:r>
    </w:p>
    <w:p w14:paraId="1A000000">
      <w:r>
        <w:t>5</w:t>
      </w:r>
      <w:r>
        <w:t xml:space="preserve">.1. Основные критерии допуска проекта для конкурсного отбора: </w:t>
      </w:r>
    </w:p>
    <w:p w14:paraId="1B000000">
      <w:pPr>
        <w:pStyle w:val="Style_4"/>
        <w:numPr>
          <w:ilvl w:val="0"/>
          <w:numId w:val="2"/>
        </w:numPr>
      </w:pPr>
      <w:r>
        <w:t>предоставление всей необходимой информации о проекте (заполнение всех обязательных пунктов анкеты);</w:t>
      </w:r>
    </w:p>
    <w:p w14:paraId="1C000000">
      <w:pPr>
        <w:pStyle w:val="Style_4"/>
        <w:numPr>
          <w:ilvl w:val="0"/>
          <w:numId w:val="2"/>
        </w:numPr>
      </w:pPr>
      <w:r>
        <w:t>ясность и четкость представленной информации;</w:t>
      </w:r>
    </w:p>
    <w:p w14:paraId="1D000000">
      <w:pPr>
        <w:pStyle w:val="Style_4"/>
        <w:numPr>
          <w:ilvl w:val="0"/>
          <w:numId w:val="2"/>
        </w:numPr>
      </w:pPr>
      <w:r>
        <w:t>заполнение заявки на русском языке;</w:t>
      </w:r>
    </w:p>
    <w:p w14:paraId="1E000000">
      <w:pPr>
        <w:pStyle w:val="Style_4"/>
        <w:numPr>
          <w:ilvl w:val="0"/>
          <w:numId w:val="2"/>
        </w:numPr>
      </w:pPr>
      <w:r>
        <w:t>полнота предоставления данных в соответствии с предъявляемыми к информации требованиями;</w:t>
      </w:r>
    </w:p>
    <w:p w14:paraId="1F000000">
      <w:pPr>
        <w:pStyle w:val="Style_4"/>
        <w:numPr>
          <w:ilvl w:val="0"/>
          <w:numId w:val="2"/>
        </w:numPr>
      </w:pPr>
      <w:r>
        <w:t xml:space="preserve">к участию в конкурсе допускаются проекты, </w:t>
      </w:r>
      <w:r>
        <w:t>направленные на развитие туристической привлекательности и ранее не реализованные на территории                    г. Ковдор, Мурманская область.</w:t>
      </w:r>
    </w:p>
    <w:p w14:paraId="20000000">
      <w:pPr>
        <w:pStyle w:val="Style_4"/>
        <w:tabs>
          <w:tab w:leader="none" w:pos="720" w:val="left"/>
        </w:tabs>
        <w:ind/>
        <w:rPr>
          <w:highlight w:val="yellow"/>
        </w:rPr>
      </w:pPr>
    </w:p>
    <w:p w14:paraId="21000000">
      <w:r>
        <w:t>5</w:t>
      </w:r>
      <w:r>
        <w:t>.2. Основные критерии оценки проекта</w:t>
      </w:r>
    </w:p>
    <w:p w14:paraId="22000000">
      <w:r>
        <w:t>Ф</w:t>
      </w:r>
      <w:r>
        <w:t>ормат предоставления данных о замысле проекта</w:t>
      </w:r>
    </w:p>
    <w:p w14:paraId="23000000">
      <w:pPr>
        <w:pStyle w:val="Style_4"/>
        <w:numPr>
          <w:ilvl w:val="0"/>
          <w:numId w:val="3"/>
        </w:numPr>
      </w:pPr>
      <w:r>
        <w:t>название проекта</w:t>
      </w:r>
    </w:p>
    <w:p w14:paraId="24000000">
      <w:pPr>
        <w:pStyle w:val="Style_4"/>
        <w:numPr>
          <w:ilvl w:val="0"/>
          <w:numId w:val="3"/>
        </w:numPr>
      </w:pPr>
      <w:r>
        <w:t>краткое и доступное описание проекта</w:t>
      </w:r>
    </w:p>
    <w:p w14:paraId="25000000">
      <w:pPr>
        <w:pStyle w:val="Style_4"/>
        <w:numPr>
          <w:ilvl w:val="0"/>
          <w:numId w:val="3"/>
        </w:numPr>
      </w:pPr>
      <w:r>
        <w:t>цель и задачи проекта</w:t>
      </w:r>
    </w:p>
    <w:p w14:paraId="26000000">
      <w:pPr>
        <w:pStyle w:val="Style_4"/>
        <w:numPr>
          <w:ilvl w:val="0"/>
          <w:numId w:val="3"/>
        </w:numPr>
      </w:pPr>
      <w:r>
        <w:t>сроки реализации проекта</w:t>
      </w:r>
    </w:p>
    <w:p w14:paraId="27000000">
      <w:pPr>
        <w:pStyle w:val="Style_4"/>
        <w:numPr>
          <w:ilvl w:val="0"/>
          <w:numId w:val="3"/>
        </w:numPr>
      </w:pPr>
      <w:r>
        <w:t>ожидаемые результаты</w:t>
      </w:r>
    </w:p>
    <w:p w14:paraId="28000000">
      <w:r>
        <w:t>З</w:t>
      </w:r>
      <w:r>
        <w:t xml:space="preserve">начимость проекта </w:t>
      </w:r>
    </w:p>
    <w:p w14:paraId="29000000">
      <w:pPr>
        <w:pStyle w:val="Style_4"/>
        <w:numPr>
          <w:ilvl w:val="0"/>
          <w:numId w:val="4"/>
        </w:numPr>
      </w:pPr>
      <w:r>
        <w:t>выбор целевой аудитории проекта;</w:t>
      </w:r>
    </w:p>
    <w:p w14:paraId="2A000000">
      <w:pPr>
        <w:pStyle w:val="Style_4"/>
        <w:numPr>
          <w:ilvl w:val="0"/>
          <w:numId w:val="4"/>
        </w:numPr>
      </w:pPr>
      <w:r>
        <w:t>актуальность проекта для целевой аудитории;</w:t>
      </w:r>
    </w:p>
    <w:p w14:paraId="2B000000">
      <w:pPr>
        <w:pStyle w:val="Style_4"/>
        <w:numPr>
          <w:ilvl w:val="0"/>
          <w:numId w:val="4"/>
        </w:numPr>
      </w:pPr>
      <w:r>
        <w:t>общий вклад проекта</w:t>
      </w:r>
    </w:p>
    <w:p w14:paraId="2C000000">
      <w:r>
        <w:t>Реалистичность реализации</w:t>
      </w:r>
    </w:p>
    <w:p w14:paraId="2D000000">
      <w:pPr>
        <w:pStyle w:val="Style_4"/>
        <w:numPr>
          <w:ilvl w:val="0"/>
          <w:numId w:val="4"/>
        </w:numPr>
        <w:spacing w:after="120"/>
        <w:ind/>
      </w:pPr>
      <w:r>
        <w:t>ресурсы для реализации (команда, финансы);</w:t>
      </w:r>
    </w:p>
    <w:p w14:paraId="2E000000">
      <w:pPr>
        <w:pStyle w:val="Style_4"/>
        <w:numPr>
          <w:ilvl w:val="0"/>
          <w:numId w:val="4"/>
        </w:numPr>
        <w:spacing w:after="120"/>
        <w:ind/>
      </w:pPr>
      <w:r>
        <w:t>долгосрочная перспектива проекта.</w:t>
      </w:r>
    </w:p>
    <w:p w14:paraId="2F000000">
      <w:pPr>
        <w:pStyle w:val="Style_2"/>
      </w:pPr>
      <w:r>
        <w:t>7. Определение победителя</w:t>
      </w:r>
      <w:r>
        <w:t xml:space="preserve"> конкурса</w:t>
      </w:r>
    </w:p>
    <w:p w14:paraId="30000000">
      <w:r>
        <w:t>7.1. Оценка проектов происходит в 2 этапа:</w:t>
      </w:r>
    </w:p>
    <w:p w14:paraId="31000000">
      <w:r>
        <w:t xml:space="preserve">Этап 1. Подача </w:t>
      </w:r>
      <w:r>
        <w:t xml:space="preserve">заявки </w:t>
      </w:r>
      <w:r>
        <w:t xml:space="preserve">и </w:t>
      </w:r>
      <w:r>
        <w:t>допуск заявленных проектов (в случае соответствия основным критериям, предъявляемым к заявкам).</w:t>
      </w:r>
    </w:p>
    <w:p w14:paraId="32000000">
      <w:r>
        <w:t>Этап 2. После даты окончания приема заявок Экспертный совет рассматривает выставленные на конкурс проекты по к</w:t>
      </w:r>
      <w:r>
        <w:t>ритериям, определяет победителя.</w:t>
      </w:r>
    </w:p>
    <w:p w14:paraId="33000000"/>
    <w:p w14:paraId="34000000">
      <w:pPr>
        <w:pStyle w:val="Style_4"/>
        <w:numPr>
          <w:ilvl w:val="0"/>
          <w:numId w:val="5"/>
        </w:numPr>
        <w:tabs>
          <w:tab w:leader="none" w:pos="284" w:val="left"/>
        </w:tabs>
        <w:ind w:firstLine="0" w:left="426"/>
      </w:pPr>
      <w:r>
        <w:t>проекты направляются членам экспертного совета и оцениваются заочно;</w:t>
      </w:r>
    </w:p>
    <w:p w14:paraId="35000000">
      <w:pPr>
        <w:pStyle w:val="Style_4"/>
        <w:numPr>
          <w:ilvl w:val="0"/>
          <w:numId w:val="6"/>
        </w:numPr>
        <w:ind w:hanging="283" w:left="709"/>
      </w:pPr>
      <w:r>
        <w:t>каждый проект получает комплексную оценку по десятибалльной шкале на основании заявленных критериев;</w:t>
      </w:r>
    </w:p>
    <w:p w14:paraId="36000000">
      <w:pPr>
        <w:pStyle w:val="Style_4"/>
        <w:numPr>
          <w:ilvl w:val="0"/>
          <w:numId w:val="6"/>
        </w:numPr>
        <w:ind w:hanging="283" w:left="709"/>
      </w:pPr>
      <w:r>
        <w:t>победитель определяется в результате подсчета общего количества баллов, выставленных Экспертным советом.</w:t>
      </w:r>
    </w:p>
    <w:p w14:paraId="37000000">
      <w:pPr>
        <w:pStyle w:val="Style_4"/>
        <w:numPr>
          <w:ilvl w:val="0"/>
          <w:numId w:val="6"/>
        </w:numPr>
        <w:ind w:hanging="283" w:left="709"/>
      </w:pPr>
      <w:r>
        <w:t xml:space="preserve">кандидат, направивший несколько заявок, считается победителем по одному проекту, набравшему наибольшее количество баллов. </w:t>
      </w:r>
    </w:p>
    <w:p w14:paraId="38000000">
      <w:pPr>
        <w:pStyle w:val="Style_2"/>
      </w:pPr>
      <w:r>
        <w:t xml:space="preserve">8. </w:t>
      </w:r>
      <w:r>
        <w:t>Награждение</w:t>
      </w:r>
    </w:p>
    <w:p w14:paraId="39000000">
      <w:pPr>
        <w:spacing w:after="120"/>
        <w:ind/>
      </w:pPr>
      <w:r>
        <w:t xml:space="preserve">8.1. </w:t>
      </w:r>
      <w:r>
        <w:t xml:space="preserve">Решение Экспертного совета </w:t>
      </w:r>
      <w:r>
        <w:t>публикуется</w:t>
      </w:r>
      <w:r>
        <w:t xml:space="preserve"> на сайте</w:t>
      </w:r>
      <w:r>
        <w:t xml:space="preserve"> </w:t>
      </w:r>
      <w:r>
        <w:t>«</w:t>
      </w:r>
      <w:r>
        <w:t>Ассоциации менеджеров</w:t>
      </w:r>
      <w:r>
        <w:t>»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"http://www.amr.ru"</w:instrText>
      </w:r>
      <w:r>
        <w:rPr>
          <w:rStyle w:val="Style_3_ch"/>
        </w:rPr>
        <w:fldChar w:fldCharType="separate"/>
      </w:r>
      <w:r>
        <w:rPr>
          <w:rStyle w:val="Style_3_ch"/>
        </w:rPr>
        <w:t>www.amr.ru</w:t>
      </w:r>
      <w:r>
        <w:rPr>
          <w:rStyle w:val="Style_3_ch"/>
        </w:rPr>
        <w:fldChar w:fldCharType="end"/>
      </w:r>
      <w:r>
        <w:t xml:space="preserve"> </w:t>
      </w:r>
      <w:r>
        <w:t>15</w:t>
      </w:r>
      <w:r>
        <w:t xml:space="preserve"> июля 2022 г. </w:t>
      </w:r>
    </w:p>
    <w:p w14:paraId="3A000000">
      <w:pPr>
        <w:spacing w:after="120"/>
        <w:ind/>
      </w:pPr>
      <w:r>
        <w:t>8.2. Победитель награждается почетной плакеткой</w:t>
      </w:r>
      <w:r>
        <w:t xml:space="preserve"> и </w:t>
      </w:r>
      <w:r>
        <w:t>брендирован</w:t>
      </w:r>
      <w:r>
        <w:t>ным набором «Ковдор – столица Ги</w:t>
      </w:r>
      <w:r>
        <w:t>пербореи»</w:t>
      </w:r>
      <w:r>
        <w:t>.</w:t>
      </w:r>
      <w:r>
        <w:t xml:space="preserve"> </w:t>
      </w:r>
    </w:p>
    <w:p w14:paraId="3B000000">
      <w:pPr>
        <w:spacing w:after="120"/>
        <w:ind/>
      </w:pPr>
      <w:r>
        <w:t xml:space="preserve">8.4. Информация об изменении даты, времени и месте объявления результатов конкурса размещается на сайте </w:t>
      </w:r>
      <w:r>
        <w:t>«</w:t>
      </w:r>
      <w:r>
        <w:t>Ассоциации менеджеров</w:t>
      </w:r>
      <w:r>
        <w:t>»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"http://www.amr.ru"</w:instrText>
      </w:r>
      <w:r>
        <w:rPr>
          <w:rStyle w:val="Style_3_ch"/>
        </w:rPr>
        <w:fldChar w:fldCharType="separate"/>
      </w:r>
      <w:r>
        <w:rPr>
          <w:rStyle w:val="Style_3_ch"/>
        </w:rPr>
        <w:t>www.amr.ru</w:t>
      </w:r>
      <w:bookmarkStart w:id="2" w:name="method"/>
      <w:bookmarkEnd w:id="2"/>
      <w:r>
        <w:rPr>
          <w:rStyle w:val="Style_3_ch"/>
        </w:rPr>
        <w:fldChar w:fldCharType="end"/>
      </w:r>
      <w:r>
        <w:t xml:space="preserve">. </w:t>
      </w:r>
    </w:p>
    <w:p w14:paraId="3C000000">
      <w:pPr>
        <w:pStyle w:val="Style_2"/>
      </w:pPr>
      <w:r>
        <w:t>9. Публичное использование предоставленных данных</w:t>
      </w:r>
    </w:p>
    <w:p w14:paraId="3D000000">
      <w:pPr>
        <w:spacing w:before="120"/>
        <w:ind/>
      </w:pPr>
      <w:r>
        <w:t>9.1. Предоставляя данные о конкурсном проекте, кандидат и компания дают согласие на ознакомление с ними членов Экспертного совета.</w:t>
      </w:r>
    </w:p>
    <w:p w14:paraId="3E000000">
      <w:pPr>
        <w:spacing w:before="120"/>
        <w:ind/>
      </w:pPr>
      <w:r>
        <w:t>9.2. Информация о конкурсном проекте будет использоваться в публикациях, посвященных конкурсу</w:t>
      </w:r>
      <w:r>
        <w:t xml:space="preserve"> и туристическому форуму «Гиперборейский диалог»</w:t>
      </w:r>
      <w:r>
        <w:t xml:space="preserve">, в т.ч. размещена на сайте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"http://www.amr.ru"</w:instrText>
      </w:r>
      <w:r>
        <w:rPr>
          <w:rStyle w:val="Style_3_ch"/>
        </w:rPr>
        <w:fldChar w:fldCharType="separate"/>
      </w:r>
      <w:r>
        <w:rPr>
          <w:rStyle w:val="Style_3_ch"/>
        </w:rPr>
        <w:t>www.amr.ru</w:t>
      </w:r>
      <w:r>
        <w:rPr>
          <w:rStyle w:val="Style_3_ch"/>
        </w:rPr>
        <w:fldChar w:fldCharType="end"/>
      </w:r>
      <w:r>
        <w:t>.</w:t>
      </w:r>
    </w:p>
    <w:sectPr>
      <w:footerReference r:id="rId1" w:type="default"/>
      <w:pgSz w:h="16838" w:orient="portrait" w:w="11906"/>
      <w:pgMar w:bottom="993" w:footer="256" w:gutter="0" w:header="709" w:left="1276" w:right="1133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t xml:space="preserve">Страница </w:t>
    </w: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>
      <w:t xml:space="preserve"> из </w:t>
    </w:r>
    <w:r>
      <w:fldChar w:dirty="1" w:fldCharType="begin"/>
    </w:r>
    <w:r>
      <w:instrText xml:space="preserve">NUMPAGES </w:instrText>
    </w:r>
    <w:r>
      <w:fldChar w:fldCharType="separate"/>
    </w:r>
    <w:r>
      <w:t>3</w:t>
    </w:r>
    <w:r>
      <w:fldChar w:fldCharType="end"/>
    </w: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00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2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4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6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8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0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2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4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65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887"/>
      <w:numFmt w:val="bullet"/>
      <w:lvlText w:val="•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bullet"/>
      <w:lvlText w:val="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"/>
      <w:lvlJc w:val="left"/>
      <w:pPr>
        <w:ind w:hanging="360" w:left="108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  <w:jc w:val="both"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er"/>
    <w:basedOn w:val="Style_5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5_ch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section1"/>
    <w:basedOn w:val="Style_5"/>
    <w:link w:val="Style_13_ch"/>
    <w:pPr>
      <w:spacing w:afterAutospacing="on" w:beforeAutospacing="on"/>
      <w:ind/>
    </w:pPr>
  </w:style>
  <w:style w:styleId="Style_13_ch" w:type="character">
    <w:name w:val="section1"/>
    <w:basedOn w:val="Style_5_ch"/>
    <w:link w:val="Style_13"/>
  </w:style>
  <w:style w:styleId="Style_14" w:type="paragraph">
    <w:name w:val="Обычный1"/>
    <w:link w:val="Style_14_ch"/>
    <w:rPr>
      <w:rFonts w:ascii="Times New Roman" w:hAnsi="Times New Roman"/>
      <w:sz w:val="24"/>
    </w:rPr>
  </w:style>
  <w:style w:styleId="Style_14_ch" w:type="character">
    <w:name w:val="Обычный1"/>
    <w:link w:val="Style_14"/>
    <w:rPr>
      <w:rFonts w:ascii="Times New Roman" w:hAnsi="Times New Roman"/>
      <w:sz w:val="24"/>
    </w:rPr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5"/>
    <w:link w:val="Style_16_ch"/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keepLines w:val="1"/>
      <w:spacing w:after="120" w:before="360"/>
      <w:ind/>
      <w:outlineLvl w:val="0"/>
    </w:pPr>
    <w:rPr>
      <w:b w:val="1"/>
    </w:rPr>
  </w:style>
  <w:style w:styleId="Style_2_ch" w:type="character">
    <w:name w:val="heading 1"/>
    <w:basedOn w:val="Style_5_ch"/>
    <w:link w:val="Style_2"/>
    <w:rPr>
      <w:b w:val="1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5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25" w:type="paragraph">
    <w:name w:val="toc 5"/>
    <w:next w:val="Style_5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Номер страницы1"/>
    <w:basedOn w:val="Style_6"/>
    <w:link w:val="Style_26_ch"/>
  </w:style>
  <w:style w:styleId="Style_26_ch" w:type="character">
    <w:name w:val="Номер страницы1"/>
    <w:basedOn w:val="Style_6_ch"/>
    <w:link w:val="Style_26"/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2022-06-03T10:58:33Z</dcterms:modified>
</cp:coreProperties>
</file>